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741BB" w14:textId="77777777" w:rsidR="00581D95" w:rsidRPr="00581D95" w:rsidRDefault="00581D95" w:rsidP="00581D95">
      <w:pPr>
        <w:ind w:left="360"/>
        <w:rPr>
          <w:rFonts w:asciiTheme="majorHAnsi" w:hAnsiTheme="majorHAnsi" w:cs="Times New Roman"/>
          <w:color w:val="5B9BD5" w:themeColor="accent1"/>
          <w:sz w:val="24"/>
          <w:szCs w:val="24"/>
          <w:lang w:val="en-US"/>
        </w:rPr>
      </w:pPr>
    </w:p>
    <w:p w14:paraId="57916DC9" w14:textId="77777777" w:rsidR="00581D95" w:rsidRPr="00581D95" w:rsidRDefault="00581D95" w:rsidP="00581D95">
      <w:pPr>
        <w:ind w:left="360"/>
        <w:rPr>
          <w:rFonts w:asciiTheme="majorHAnsi" w:hAnsiTheme="majorHAnsi" w:cs="Times New Roman"/>
          <w:b/>
          <w:color w:val="5B9BD5" w:themeColor="accent1"/>
          <w:sz w:val="36"/>
          <w:szCs w:val="28"/>
          <w:lang w:val="en-US"/>
        </w:rPr>
      </w:pPr>
      <w:r w:rsidRPr="00581D95">
        <w:rPr>
          <w:rFonts w:asciiTheme="majorHAnsi" w:hAnsiTheme="majorHAnsi" w:cs="Times New Roman"/>
          <w:b/>
          <w:color w:val="5B9BD5" w:themeColor="accent1"/>
          <w:sz w:val="36"/>
          <w:szCs w:val="28"/>
          <w:lang w:val="en-US"/>
        </w:rPr>
        <w:t>Basic guidelines – Integration Server</w:t>
      </w:r>
    </w:p>
    <w:p w14:paraId="012DA379" w14:textId="77777777" w:rsidR="00581D95" w:rsidRPr="00581D95" w:rsidRDefault="00581D95" w:rsidP="00581D9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</w:pPr>
      <w:r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>How to</w:t>
      </w:r>
      <w:r w:rsidRPr="00581D95"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 xml:space="preserve"> avoid service disruptions</w:t>
      </w:r>
      <w:r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 xml:space="preserve"> or</w:t>
      </w:r>
      <w:r w:rsidRPr="00581D95"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 xml:space="preserve"> </w:t>
      </w:r>
      <w:r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>i</w:t>
      </w:r>
      <w:r w:rsidRPr="00581D95">
        <w:rPr>
          <w:rFonts w:asciiTheme="majorHAnsi" w:hAnsiTheme="majorHAnsi" w:cs="Times New Roman"/>
          <w:color w:val="5B9BD5" w:themeColor="accent1"/>
          <w:sz w:val="28"/>
          <w:szCs w:val="28"/>
          <w:lang w:val="en-US"/>
        </w:rPr>
        <w:t xml:space="preserve">ntegration downtime </w:t>
      </w:r>
    </w:p>
    <w:p w14:paraId="4EE4F834" w14:textId="77777777" w:rsidR="00581D95" w:rsidRDefault="00581D95" w:rsidP="00581D95">
      <w:pPr>
        <w:ind w:left="360"/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</w:p>
    <w:p w14:paraId="4112B2EA" w14:textId="77777777" w:rsidR="00581D95" w:rsidRPr="00581D95" w:rsidRDefault="00581D95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The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server clock should always be synchronized.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If the time is more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than 5 minutes out of sync, Ibistic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I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ntegration will not run. </w:t>
      </w:r>
    </w:p>
    <w:p w14:paraId="0566A004" w14:textId="77777777" w:rsidR="00581D95" w:rsidRDefault="00581D95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>Please do not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change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folder paths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without notifying Ibistic Support beforehand. When changing folder, Ibistic ne</w:t>
      </w:r>
      <w:r w:rsid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eds to update internal settings.</w:t>
      </w:r>
    </w:p>
    <w:p w14:paraId="4D15673C" w14:textId="77777777" w:rsidR="0072067E" w:rsidRDefault="0072067E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Do not remove the user running the integration.</w:t>
      </w:r>
    </w:p>
    <w:p w14:paraId="492641F6" w14:textId="77777777" w:rsidR="00581D95" w:rsidRDefault="00581D95" w:rsidP="0007654F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Please do not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migrate Ibistic </w:t>
      </w:r>
      <w:proofErr w:type="spellStart"/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IntFX</w:t>
      </w:r>
      <w:proofErr w:type="spellEnd"/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to a new server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without notifying Ibistic Support beforehand.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For server migration, please read </w:t>
      </w:r>
      <w:hyperlink r:id="rId8" w:history="1">
        <w:r w:rsidRPr="009A5BA1">
          <w:rPr>
            <w:rStyle w:val="Hyperlink"/>
            <w:rFonts w:asciiTheme="majorHAnsi" w:hAnsiTheme="majorHAnsi" w:cs="Times New Roman"/>
            <w:sz w:val="24"/>
            <w:szCs w:val="24"/>
            <w:lang w:val="en-US"/>
          </w:rPr>
          <w:t>this guide</w:t>
        </w:r>
      </w:hyperlink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.</w:t>
      </w:r>
    </w:p>
    <w:p w14:paraId="5BBD5A0D" w14:textId="77777777" w:rsidR="00581D95" w:rsidRDefault="00581D95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>Do not</w:t>
      </w:r>
      <w:r w:rsidRPr="00581D95">
        <w:rPr>
          <w:rFonts w:asciiTheme="majorHAnsi" w:hAnsiTheme="majorHAnsi" w:cs="Times New Roman"/>
          <w:b/>
          <w:color w:val="333333"/>
          <w:sz w:val="24"/>
          <w:szCs w:val="24"/>
          <w:lang w:val="en-US"/>
        </w:rPr>
        <w:t xml:space="preserve"> 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change read / write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folder permissions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of the user running the integration</w:t>
      </w:r>
    </w:p>
    <w:p w14:paraId="0A347CD8" w14:textId="77777777" w:rsidR="00581D95" w:rsidRDefault="00581D95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Do not</w:t>
      </w:r>
      <w:r w:rsid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change or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move</w:t>
      </w:r>
      <w:r w:rsid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integration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certificate</w:t>
      </w:r>
      <w:r w:rsidRPr="00581D95">
        <w:rPr>
          <w:rFonts w:asciiTheme="majorHAnsi" w:hAnsiTheme="majorHAnsi" w:cs="Times New Roman"/>
          <w:color w:val="333333"/>
          <w:sz w:val="24"/>
          <w:szCs w:val="24"/>
          <w:lang w:val="en-US"/>
        </w:rPr>
        <w:t>.</w:t>
      </w:r>
    </w:p>
    <w:p w14:paraId="1AA60EF6" w14:textId="77777777" w:rsidR="0072067E" w:rsidRDefault="0072067E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Do not delete files in the integration folder.</w:t>
      </w:r>
    </w:p>
    <w:p w14:paraId="6F98B873" w14:textId="77777777" w:rsidR="009A5BA1" w:rsidRPr="00581D95" w:rsidRDefault="009A5BA1" w:rsidP="00581D9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Make sure the server has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sufficient resources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(for example RAM/CPU/Diskspace), for the Ibistic integration Framework (</w:t>
      </w:r>
      <w:proofErr w:type="spellStart"/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>IntFX</w:t>
      </w:r>
      <w:proofErr w:type="spellEnd"/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) to run. </w:t>
      </w:r>
    </w:p>
    <w:p w14:paraId="50E8FFC0" w14:textId="77777777" w:rsidR="00581D95" w:rsidRDefault="00581D95" w:rsidP="00581D95">
      <w:p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</w:p>
    <w:p w14:paraId="15A838DA" w14:textId="77777777" w:rsidR="00581D95" w:rsidRDefault="009A5BA1" w:rsidP="00581D95">
      <w:p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 w:rsidRPr="009A5BA1">
        <w:rPr>
          <w:rFonts w:asciiTheme="majorHAnsi" w:hAnsiTheme="majorHAnsi" w:cs="Times New Roman"/>
          <w:b/>
          <w:color w:val="333333"/>
          <w:sz w:val="24"/>
          <w:szCs w:val="24"/>
          <w:lang w:val="en-US"/>
        </w:rPr>
        <w:t xml:space="preserve">Note: </w:t>
      </w:r>
      <w:r w:rsidR="00BA1A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Any of the above </w:t>
      </w:r>
      <w:r w:rsidR="00581D95"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res</w:t>
      </w:r>
      <w:r w:rsidR="00BA1AA1">
        <w:rPr>
          <w:rFonts w:asciiTheme="majorHAnsi" w:hAnsiTheme="majorHAnsi" w:cs="Times New Roman"/>
          <w:color w:val="333333"/>
          <w:sz w:val="24"/>
          <w:szCs w:val="24"/>
          <w:lang w:val="en-US"/>
        </w:rPr>
        <w:t>ults in integration stop working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. </w:t>
      </w:r>
      <w:r w:rsidR="00581D95"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Changes to the setup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initiated by customer,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which requires interaction of Ibistic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or assistance 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of integration specialist 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by</w:t>
      </w: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remote session on the server may be</w:t>
      </w:r>
      <w:r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</w:t>
      </w:r>
      <w:r w:rsidR="00581D95" w:rsidRPr="009A5BA1">
        <w:rPr>
          <w:rFonts w:asciiTheme="majorHAnsi" w:hAnsiTheme="majorHAnsi" w:cs="Times New Roman"/>
          <w:color w:val="333333"/>
          <w:sz w:val="24"/>
          <w:szCs w:val="24"/>
          <w:lang w:val="en-US"/>
        </w:rPr>
        <w:t>billable time.</w:t>
      </w:r>
      <w:r w:rsidR="00625F1D"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 Please ask Ibistic Support or Ibistic Integration department beforehand if in doubt, prior to making changes on the Integration Server which may affect the integration client.</w:t>
      </w:r>
    </w:p>
    <w:p w14:paraId="7199BD56" w14:textId="77777777" w:rsidR="00625F1D" w:rsidRDefault="00625F1D" w:rsidP="00581D95">
      <w:p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</w:p>
    <w:p w14:paraId="32018AA6" w14:textId="77777777" w:rsidR="00625F1D" w:rsidRPr="00625F1D" w:rsidRDefault="00625F1D" w:rsidP="00581D95">
      <w:pPr>
        <w:rPr>
          <w:rFonts w:asciiTheme="majorHAnsi" w:hAnsiTheme="majorHAnsi" w:cs="Times New Roman"/>
          <w:b/>
          <w:color w:val="333333"/>
          <w:sz w:val="24"/>
          <w:szCs w:val="24"/>
          <w:lang w:val="en-US"/>
        </w:rPr>
      </w:pPr>
      <w:r w:rsidRPr="00625F1D">
        <w:rPr>
          <w:rFonts w:asciiTheme="majorHAnsi" w:hAnsiTheme="majorHAnsi" w:cs="Times New Roman"/>
          <w:b/>
          <w:color w:val="333333"/>
          <w:sz w:val="24"/>
          <w:szCs w:val="24"/>
          <w:lang w:val="en-US"/>
        </w:rPr>
        <w:t>Contact details:</w:t>
      </w:r>
    </w:p>
    <w:p w14:paraId="0030C645" w14:textId="77777777" w:rsidR="00625F1D" w:rsidRDefault="00625F1D" w:rsidP="00581D95">
      <w:pPr>
        <w:rPr>
          <w:rFonts w:asciiTheme="majorHAnsi" w:hAnsiTheme="majorHAnsi" w:cs="Times New Roman"/>
          <w:color w:val="333333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333333"/>
          <w:sz w:val="24"/>
          <w:szCs w:val="24"/>
          <w:lang w:val="en-US"/>
        </w:rPr>
        <w:t xml:space="preserve">Ibistic Support: </w:t>
      </w:r>
      <w:hyperlink r:id="rId9" w:history="1">
        <w:r w:rsidRPr="00700ECF">
          <w:rPr>
            <w:rStyle w:val="Hyperlink"/>
            <w:rFonts w:asciiTheme="majorHAnsi" w:hAnsiTheme="majorHAnsi" w:cs="Times New Roman"/>
            <w:sz w:val="24"/>
            <w:szCs w:val="24"/>
            <w:lang w:val="en-US"/>
          </w:rPr>
          <w:t>support@ibistic.com</w:t>
        </w:r>
      </w:hyperlink>
      <w:bookmarkStart w:id="0" w:name="_GoBack"/>
      <w:bookmarkEnd w:id="0"/>
    </w:p>
    <w:sectPr w:rsidR="0062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7541"/>
    <w:multiLevelType w:val="hybridMultilevel"/>
    <w:tmpl w:val="190C546A"/>
    <w:lvl w:ilvl="0" w:tplc="FA0EB47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E3A5F"/>
    <w:multiLevelType w:val="hybridMultilevel"/>
    <w:tmpl w:val="D40A0482"/>
    <w:lvl w:ilvl="0" w:tplc="62CCB6F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3"/>
    <w:rsid w:val="000F0FF0"/>
    <w:rsid w:val="0019284D"/>
    <w:rsid w:val="001C6933"/>
    <w:rsid w:val="00252A9E"/>
    <w:rsid w:val="00581D95"/>
    <w:rsid w:val="00625F1D"/>
    <w:rsid w:val="00657423"/>
    <w:rsid w:val="0072067E"/>
    <w:rsid w:val="009A5BA1"/>
    <w:rsid w:val="009F6733"/>
    <w:rsid w:val="00A26C2F"/>
    <w:rsid w:val="00BA1AA1"/>
    <w:rsid w:val="00C32B9D"/>
    <w:rsid w:val="00F11F6C"/>
    <w:rsid w:val="00F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0380"/>
  <w15:chartTrackingRefBased/>
  <w15:docId w15:val="{EE280ECD-9D12-4911-80D7-49B7565C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95"/>
    <w:pPr>
      <w:spacing w:after="0" w:line="240" w:lineRule="auto"/>
      <w:ind w:left="720"/>
      <w:contextualSpacing/>
    </w:pPr>
    <w:rPr>
      <w:rFonts w:ascii="Calibri" w:hAnsi="Calibri" w:cs="Calibri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9A5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ibistic.com/hc/en-us/articles/22058862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pport@ibis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CA56FC6E46E429332E0DD6AB51BD0" ma:contentTypeVersion="7" ma:contentTypeDescription="Create a new document." ma:contentTypeScope="" ma:versionID="46d2c86072db18820930516204f5bfaa">
  <xsd:schema xmlns:xsd="http://www.w3.org/2001/XMLSchema" xmlns:xs="http://www.w3.org/2001/XMLSchema" xmlns:p="http://schemas.microsoft.com/office/2006/metadata/properties" xmlns:ns2="70ce0762-e438-4098-b51f-c4cec443755a" targetNamespace="http://schemas.microsoft.com/office/2006/metadata/properties" ma:root="true" ma:fieldsID="615a493736a3fa60e9084e175cdad61a" ns2:_="">
    <xsd:import namespace="70ce0762-e438-4098-b51f-c4cec4437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e0762-e438-4098-b51f-c4cec4437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60B3A-D8B3-4D69-876B-9CC60B2B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e0762-e438-4098-b51f-c4cec4437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1B7B5-28FC-4D9D-92F4-99BE90AA9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279D-B809-4D4F-A823-81946208C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Häckner</dc:creator>
  <cp:keywords/>
  <dc:description/>
  <cp:lastModifiedBy>Alexander Häckner</cp:lastModifiedBy>
  <cp:revision>2</cp:revision>
  <dcterms:created xsi:type="dcterms:W3CDTF">2019-10-08T08:50:00Z</dcterms:created>
  <dcterms:modified xsi:type="dcterms:W3CDTF">2019-10-08T08:50:00Z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0x010100110CA56FC6E46E429332E0DD6AB51BD0</vt:lpwstr>
  </property>
</Properties>
</file>